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A2FAE" w14:textId="3E3CCC7A" w:rsidR="001022A0" w:rsidRPr="006B6C81" w:rsidRDefault="001022A0" w:rsidP="001022A0">
      <w:pPr>
        <w:jc w:val="center"/>
        <w:rPr>
          <w:b/>
          <w:bCs/>
        </w:rPr>
      </w:pPr>
      <w:r w:rsidRPr="006B6C81">
        <w:rPr>
          <w:b/>
          <w:bCs/>
        </w:rPr>
        <w:t>Recenzja materiałów dydaktycznych „</w:t>
      </w:r>
      <w:r>
        <w:rPr>
          <w:b/>
          <w:bCs/>
        </w:rPr>
        <w:t>Matematyka gra pla</w:t>
      </w:r>
      <w:r w:rsidR="006652EE">
        <w:rPr>
          <w:b/>
          <w:bCs/>
        </w:rPr>
        <w:t>n</w:t>
      </w:r>
      <w:r>
        <w:rPr>
          <w:b/>
          <w:bCs/>
        </w:rPr>
        <w:t>szowa</w:t>
      </w:r>
      <w:r w:rsidRPr="006B6C81">
        <w:rPr>
          <w:b/>
          <w:bCs/>
        </w:rPr>
        <w:t xml:space="preserve">”  wypracowanych w ramach </w:t>
      </w:r>
      <w:r>
        <w:rPr>
          <w:b/>
          <w:bCs/>
        </w:rPr>
        <w:t xml:space="preserve"> </w:t>
      </w:r>
      <w:r w:rsidRPr="006B6C81">
        <w:rPr>
          <w:b/>
          <w:bCs/>
        </w:rPr>
        <w:t>projektu</w:t>
      </w:r>
      <w:r>
        <w:rPr>
          <w:b/>
          <w:bCs/>
        </w:rPr>
        <w:t xml:space="preserve"> </w:t>
      </w:r>
      <w:r w:rsidRPr="006B6C81">
        <w:rPr>
          <w:b/>
          <w:bCs/>
        </w:rPr>
        <w:t xml:space="preserve"> „ Edukacja artystyczna głuchych”</w:t>
      </w:r>
    </w:p>
    <w:p w14:paraId="3224006D" w14:textId="51183456" w:rsidR="001022A0" w:rsidRDefault="001022A0" w:rsidP="001022A0">
      <w:r>
        <w:t xml:space="preserve">Recenzja materiałów dydaktycznych  sporządzona przez zespół ekspertów w składzie dr W.  </w:t>
      </w:r>
      <w:proofErr w:type="spellStart"/>
      <w:r>
        <w:t>Żurowicz</w:t>
      </w:r>
      <w:proofErr w:type="spellEnd"/>
      <w:r>
        <w:t xml:space="preserve">, mgr </w:t>
      </w:r>
      <w:proofErr w:type="spellStart"/>
      <w:r>
        <w:t>K.Podgórni</w:t>
      </w:r>
      <w:proofErr w:type="spellEnd"/>
      <w:r>
        <w:t xml:space="preserve">, mgr </w:t>
      </w:r>
      <w:proofErr w:type="spellStart"/>
      <w:r>
        <w:t>M.Kwaśnik</w:t>
      </w:r>
      <w:proofErr w:type="spellEnd"/>
      <w:r>
        <w:t xml:space="preserve"> jest pozytywna.</w:t>
      </w:r>
    </w:p>
    <w:p w14:paraId="3F3193EC" w14:textId="1BEB02DA" w:rsidR="001022A0" w:rsidRDefault="001022A0" w:rsidP="001022A0">
      <w:r>
        <w:t>Lekcja "Matematyka gra planszowa" jest innowacyjnym podejściem do nauki matematyki dla osób niesłyszących, wykorzystującym elementy gry planszowej. Jest to godne uwagi narzędzie edukacyjne, które nie tylko angażuje uczniów w proces uczenia się, ale również sprzyja rozwijaniu umiejętności matematycznych w interaktywny i przyjemny sposób.</w:t>
      </w:r>
    </w:p>
    <w:p w14:paraId="07DFA39B" w14:textId="77777777" w:rsidR="001022A0" w:rsidRDefault="001022A0" w:rsidP="001022A0">
      <w:r>
        <w:t>Jednym z najbardziej atrakcyjnych elementów tego programu jest wykorzystanie planszy do gry oraz kostki do gry. Te tradycyjne narzędzia gier pomagają uczniom w wizualizacji i zrozumieniu koncepcji matematycznych poprzez działania praktyczne. Rzucanie kostką i przemieszczanie się pionków po planszy stwarza emocjonującą atmosferę, która motywuje uczniów do aktywnego uczestnictwa w zajęciach.</w:t>
      </w:r>
    </w:p>
    <w:p w14:paraId="31E4153F" w14:textId="77777777" w:rsidR="001022A0" w:rsidRDefault="001022A0" w:rsidP="001022A0">
      <w:r>
        <w:t>Najważniejszym atutem programu jest jego zdolność do dostosowywania się do różnych poziomów umiejętności uczniów. Zadania matematyczne, które są rozwiązywane po stanięciu pionków na odpowiednich polach, mogą być dostosowane do różnych poziomów trudności, co pozwala na indywidualizację procesu nauczania i zapewnienie optymalnego wyzwania dla każdego ucznia.</w:t>
      </w:r>
    </w:p>
    <w:p w14:paraId="7A51E192" w14:textId="77777777" w:rsidR="001022A0" w:rsidRDefault="001022A0" w:rsidP="001022A0">
      <w:r>
        <w:t>Dodatkowo, program "Matematyka gra planszowa" sprzyja rozwojowi umiejętności społecznych poprzez interakcję między uczniami. Wspólne rozwiązywanie zadań matematycznych oraz rywalizacja w grze zachęcają do współpracy i komunikacji, co jest istotne dla ogólnego rozwoju uczniów.</w:t>
      </w:r>
    </w:p>
    <w:p w14:paraId="7D022B22" w14:textId="77777777" w:rsidR="001022A0" w:rsidRDefault="001022A0" w:rsidP="001022A0">
      <w:r>
        <w:t>Jednakże, istnieje kilka obszarów, które mogłyby zostać ulepszone. Po pierwsze, konieczne jest zapewnienie różnorodności zadań matematycznych, aby uniknąć monotonii i utrzymania zainteresowania uczniów na wysokim poziomie. Po drugie, ważne jest, aby nauczyciele otrzymywali odpowiednie szkolenie w zakresie wykorzystania tego programu, aby móc efektywnie prowadzić zajęcia i maksymalizować korzyści dla uczniów.</w:t>
      </w:r>
    </w:p>
    <w:p w14:paraId="01C7F304" w14:textId="001CB7D0" w:rsidR="009A6934" w:rsidRDefault="001022A0" w:rsidP="001022A0">
      <w:r>
        <w:t>Wykorzystanie w edukacji masowej elementów sztuk plastycznych przez niesłyszących uczniów stanowi innowacyjne podejście do nauki matematyki, które angażuje uczniów w sposób interaktywny i motywujący. Dzięki zastosowaniu elementów gry planszowej, program ten sprzyja rozwojowi umiejętności matematycznych oraz umiejętności społecznych, co czyni go cennym narzędziem edukacyjnym dla osób głuchych.</w:t>
      </w:r>
    </w:p>
    <w:p w14:paraId="46BD87DC" w14:textId="77777777" w:rsidR="001022A0" w:rsidRDefault="001022A0" w:rsidP="001022A0">
      <w:r>
        <w:t>Samodzielna praca nad wykonaniem planszówki do nauki matematyki przynosi wiele korzyści dla uczniów:</w:t>
      </w:r>
    </w:p>
    <w:p w14:paraId="75FED126" w14:textId="48C2A00D" w:rsidR="001022A0" w:rsidRDefault="001022A0" w:rsidP="001022A0">
      <w:r>
        <w:t>- Rozwijanie kreatywności. Projektowanie własnej planszówki wymaga pomysłowości i kreatywności. Uczniowie muszą wyobrazić sobie, jak będą wyglądać ich plansze, jakie będą miały elementy, oraz jak będą z nimi interaktywne.</w:t>
      </w:r>
    </w:p>
    <w:p w14:paraId="6C4F59B6" w14:textId="3444F5C5" w:rsidR="001022A0" w:rsidRDefault="001022A0" w:rsidP="001022A0">
      <w:r>
        <w:t>- Zrozumienie materiału. Tworzenie planszówki wymaga głębszego zrozumienia materiału, który chcą umieścić na planszy. Uczniowie muszą przemyśleć, jakie zagadnienia matematyczne chcą uwzględnić, jak je przedstawić i jakie zadania przypisać do poszczególnych pól.</w:t>
      </w:r>
    </w:p>
    <w:p w14:paraId="3B3190C1" w14:textId="77777777" w:rsidR="001022A0" w:rsidRDefault="001022A0" w:rsidP="001022A0"/>
    <w:p w14:paraId="778B1CD8" w14:textId="69220431" w:rsidR="001022A0" w:rsidRDefault="001022A0" w:rsidP="001022A0">
      <w:r>
        <w:lastRenderedPageBreak/>
        <w:t>- Umacnianie wiedzy poprzez praktykę. Podczas tworzenia planszówki uczniowie muszą stosować swoją wiedzę matematyczną w praktyce. Muszą wybrać odpowiednie zadania, które są dostosowane do ich poziomu umiejętności oraz tematów, które chcą przypomnieć lub utrwalić.</w:t>
      </w:r>
    </w:p>
    <w:p w14:paraId="2797FB8B" w14:textId="4AEF6B56" w:rsidR="001022A0" w:rsidRDefault="001022A0" w:rsidP="001022A0">
      <w:r>
        <w:t>- Rozwijanie umiejętności planowania. Proces tworzenia planszówki wymaga planowania i organizacji. Uczniowie muszą zaplanować, jak będą rozmieszczone elementy na planszy, jak będą wyglądały poszczególne pola, jakie będą miały zadania i jakie będą zasady gry.</w:t>
      </w:r>
    </w:p>
    <w:p w14:paraId="0590A0A2" w14:textId="744C1FF5" w:rsidR="001022A0" w:rsidRDefault="001022A0" w:rsidP="001022A0">
      <w:r>
        <w:t>- Motywacja do nauki. Możliwość stworzenia własnej planszówki do nauki matematyki może być bardzo motywująca dla uczniów. Widząc, że sami są twórcami narzędzia do nauki, mogą bardziej zaangażować się w proces uczenia się i być bardziej skłonni do podejmowania wysiłku w rozwiązywaniu zadań.</w:t>
      </w:r>
    </w:p>
    <w:p w14:paraId="7AB92A05" w14:textId="79012278" w:rsidR="001022A0" w:rsidRDefault="001022A0" w:rsidP="001022A0">
      <w:r>
        <w:t>- Kształtowanie umiejętności interpersonalnych. Praca w grupie nad tworzeniem planszówki może także rozwijać umiejętności interpersonalne uczniów, takie jak komunikacja, współpraca, negocjacja i rozwiązywanie problemów.</w:t>
      </w:r>
    </w:p>
    <w:p w14:paraId="5C6988BC" w14:textId="17C37231" w:rsidR="001022A0" w:rsidRDefault="001022A0" w:rsidP="001022A0">
      <w:r>
        <w:t>-Poczucie własnej wartości. Udane ukończenie projektu, jakim jest własna planszówka do nauki matematyki, może zwiększyć poczucie własnej wartości ucznia oraz wzmocnić jego pewność siebie w zakresie umiejętności matematycznych i zdolności twórczego myślenia.</w:t>
      </w:r>
    </w:p>
    <w:p w14:paraId="4F910560" w14:textId="032083DC" w:rsidR="001022A0" w:rsidRDefault="001022A0" w:rsidP="001022A0">
      <w:r>
        <w:t>W sumie, samodzielna praca nad wykonaniem planszówki do nauki matematyki może być nie tylko skuteczną metodą utrwalania wiedzy, ale także stanowić inspirujące i rozwijające doświadczenie dla uczniów.</w:t>
      </w:r>
    </w:p>
    <w:p w14:paraId="75E6E7EB" w14:textId="77777777" w:rsidR="00E95337" w:rsidRDefault="00E95337" w:rsidP="001022A0"/>
    <w:p w14:paraId="254CF5A2" w14:textId="77777777" w:rsidR="00E95337" w:rsidRPr="000043F9" w:rsidRDefault="00E95337" w:rsidP="00E95337">
      <w:pPr>
        <w:rPr>
          <w:sz w:val="24"/>
          <w:szCs w:val="24"/>
        </w:rPr>
      </w:pPr>
      <w:r w:rsidRPr="000043F9">
        <w:rPr>
          <w:i/>
          <w:iCs/>
          <w:sz w:val="24"/>
          <w:szCs w:val="24"/>
        </w:rPr>
        <w:t>Dofinansowane ze środków UE. Wyrażone poglądy i opinie są jedynie opiniami autora lub autorów i niekoniecznie odzwierciedlają poglądy i opinie Unii Europejskiej lub Fundacji Rozwoju Systemu Edukacji. Unia Europejska ani Fundacja Rozwoju Systemu Edukacji nie ponoszą za nie odpowiedzialności.</w:t>
      </w:r>
    </w:p>
    <w:p w14:paraId="03B080E1" w14:textId="77777777" w:rsidR="00E95337" w:rsidRDefault="00E95337" w:rsidP="001022A0"/>
    <w:sectPr w:rsidR="00E95337">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D9D32" w14:textId="77777777" w:rsidR="00D7736F" w:rsidRDefault="00D7736F" w:rsidP="0077355A">
      <w:pPr>
        <w:spacing w:after="0" w:line="240" w:lineRule="auto"/>
      </w:pPr>
      <w:r>
        <w:separator/>
      </w:r>
    </w:p>
  </w:endnote>
  <w:endnote w:type="continuationSeparator" w:id="0">
    <w:p w14:paraId="31E331D2" w14:textId="77777777" w:rsidR="00D7736F" w:rsidRDefault="00D7736F" w:rsidP="00773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612F9" w14:textId="1609DBE9" w:rsidR="0077355A" w:rsidRDefault="0077355A">
    <w:pPr>
      <w:pStyle w:val="Stopka"/>
    </w:pPr>
    <w:r>
      <w:rPr>
        <w:noProof/>
      </w:rPr>
      <w:drawing>
        <wp:anchor distT="0" distB="0" distL="114300" distR="114300" simplePos="0" relativeHeight="251659264" behindDoc="0" locked="0" layoutInCell="1" allowOverlap="1" wp14:anchorId="13463FC8" wp14:editId="69EDDAE7">
          <wp:simplePos x="0" y="0"/>
          <wp:positionH relativeFrom="column">
            <wp:posOffset>2247900</wp:posOffset>
          </wp:positionH>
          <wp:positionV relativeFrom="paragraph">
            <wp:posOffset>-38100</wp:posOffset>
          </wp:positionV>
          <wp:extent cx="1743075" cy="557212"/>
          <wp:effectExtent l="0" t="0" r="0" b="0"/>
          <wp:wrapThrough wrapText="bothSides">
            <wp:wrapPolygon edited="0">
              <wp:start x="0" y="0"/>
              <wp:lineTo x="0" y="20689"/>
              <wp:lineTo x="21246" y="20689"/>
              <wp:lineTo x="21246" y="0"/>
              <wp:lineTo x="0" y="0"/>
            </wp:wrapPolygon>
          </wp:wrapThrough>
          <wp:docPr id="6"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 5"/>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43075" cy="557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ADC9D" w14:textId="77777777" w:rsidR="00D7736F" w:rsidRDefault="00D7736F" w:rsidP="0077355A">
      <w:pPr>
        <w:spacing w:after="0" w:line="240" w:lineRule="auto"/>
      </w:pPr>
      <w:r>
        <w:separator/>
      </w:r>
    </w:p>
  </w:footnote>
  <w:footnote w:type="continuationSeparator" w:id="0">
    <w:p w14:paraId="2CE93E46" w14:textId="77777777" w:rsidR="00D7736F" w:rsidRDefault="00D7736F" w:rsidP="007735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D8219" w14:textId="7F8CD273" w:rsidR="006652EE" w:rsidRDefault="006652EE" w:rsidP="006652EE">
    <w:pPr>
      <w:pStyle w:val="Nagwek"/>
      <w:rPr>
        <w:noProof/>
      </w:rPr>
    </w:pPr>
    <w:r>
      <w:rPr>
        <w:noProof/>
      </w:rPr>
      <w:drawing>
        <wp:anchor distT="0" distB="0" distL="114300" distR="114300" simplePos="0" relativeHeight="251660288" behindDoc="0" locked="0" layoutInCell="1" allowOverlap="1" wp14:anchorId="192ACFEB" wp14:editId="5872914B">
          <wp:simplePos x="0" y="0"/>
          <wp:positionH relativeFrom="margin">
            <wp:align>center</wp:align>
          </wp:positionH>
          <wp:positionV relativeFrom="paragraph">
            <wp:posOffset>-80010</wp:posOffset>
          </wp:positionV>
          <wp:extent cx="3154680" cy="661050"/>
          <wp:effectExtent l="0" t="0" r="7620" b="5715"/>
          <wp:wrapThrough wrapText="bothSides">
            <wp:wrapPolygon edited="0">
              <wp:start x="0" y="0"/>
              <wp:lineTo x="0" y="21164"/>
              <wp:lineTo x="21522" y="21164"/>
              <wp:lineTo x="21522" y="0"/>
              <wp:lineTo x="0" y="0"/>
            </wp:wrapPolygon>
          </wp:wrapThrough>
          <wp:docPr id="119205964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4680" cy="661050"/>
                  </a:xfrm>
                  <a:prstGeom prst="rect">
                    <a:avLst/>
                  </a:prstGeom>
                  <a:noFill/>
                  <a:ln>
                    <a:noFill/>
                  </a:ln>
                </pic:spPr>
              </pic:pic>
            </a:graphicData>
          </a:graphic>
        </wp:anchor>
      </w:drawing>
    </w:r>
  </w:p>
  <w:p w14:paraId="5D55C528" w14:textId="7D9C0B27" w:rsidR="006652EE" w:rsidRDefault="006652EE" w:rsidP="006652EE">
    <w:pPr>
      <w:pStyle w:val="Nagwek"/>
      <w:rPr>
        <w:noProof/>
      </w:rPr>
    </w:pPr>
  </w:p>
  <w:p w14:paraId="56360BDE" w14:textId="6FABB932" w:rsidR="006652EE" w:rsidRDefault="006652EE" w:rsidP="006652EE">
    <w:pPr>
      <w:pStyle w:val="Nagwek"/>
      <w:rPr>
        <w:noProof/>
      </w:rPr>
    </w:pPr>
  </w:p>
  <w:p w14:paraId="20CAC019" w14:textId="77777777" w:rsidR="006652EE" w:rsidRDefault="006652EE" w:rsidP="006652EE">
    <w:pPr>
      <w:pStyle w:val="Nagwek"/>
      <w:rPr>
        <w:noProof/>
      </w:rPr>
    </w:pPr>
  </w:p>
  <w:p w14:paraId="77AF3E75" w14:textId="47AE29F7" w:rsidR="0077355A" w:rsidRPr="006652EE" w:rsidRDefault="0077355A" w:rsidP="006652EE">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2A0"/>
    <w:rsid w:val="001022A0"/>
    <w:rsid w:val="0016714E"/>
    <w:rsid w:val="006652EE"/>
    <w:rsid w:val="0077355A"/>
    <w:rsid w:val="009A6934"/>
    <w:rsid w:val="00B004BD"/>
    <w:rsid w:val="00B72236"/>
    <w:rsid w:val="00D7736F"/>
    <w:rsid w:val="00E953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DCDC1"/>
  <w15:chartTrackingRefBased/>
  <w15:docId w15:val="{88123B30-3845-4D92-81AB-AD70A3F9B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7355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7355A"/>
  </w:style>
  <w:style w:type="paragraph" w:styleId="Stopka">
    <w:name w:val="footer"/>
    <w:basedOn w:val="Normalny"/>
    <w:link w:val="StopkaZnak"/>
    <w:uiPriority w:val="99"/>
    <w:unhideWhenUsed/>
    <w:rsid w:val="0077355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735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688</Words>
  <Characters>4133</Characters>
  <Application>Microsoft Office Word</Application>
  <DocSecurity>0</DocSecurity>
  <Lines>34</Lines>
  <Paragraphs>9</Paragraphs>
  <ScaleCrop>false</ScaleCrop>
  <Company/>
  <LinksUpToDate>false</LinksUpToDate>
  <CharactersWithSpaces>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 xx</dc:creator>
  <cp:keywords/>
  <dc:description/>
  <cp:lastModifiedBy>xx xx</cp:lastModifiedBy>
  <cp:revision>5</cp:revision>
  <dcterms:created xsi:type="dcterms:W3CDTF">2024-02-19T08:46:00Z</dcterms:created>
  <dcterms:modified xsi:type="dcterms:W3CDTF">2025-07-07T07:46:00Z</dcterms:modified>
</cp:coreProperties>
</file>